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1695C"/>
          <w:sz w:val="17"/>
        </w:rPr>
        <w:t>THE PROCUREMENT MANAGER  |  VORLAGE</w:t>
      </w:r>
    </w:p>
    <w:p>
      <w:pPr>
        <w:spacing w:after="80"/>
      </w:pPr>
      <w:r>
        <w:rPr>
          <w:b/>
          <w:i w:val="0"/>
          <w:color w:val="172033"/>
          <w:sz w:val="44"/>
        </w:rPr>
        <w:t>Lieferantenbewertung Vorlage</w:t>
      </w:r>
    </w:p>
    <w:p>
      <w:r>
        <w:rPr>
          <w:b w:val="0"/>
          <w:i w:val="0"/>
          <w:color w:val="5B6474"/>
          <w:sz w:val="21"/>
        </w:rPr>
        <w:t>Kopfbereich und gewichtete Kriterienmatrix für die regelmäßige Bewertung eines Lieferanten. Alle Beispielwerte sind fiktiv.</w:t>
      </w:r>
    </w:p>
    <w:p>
      <w:r>
        <w:rPr>
          <w:b w:val="0"/>
          <w:i/>
          <w:color w:val="8A94A6"/>
          <w:sz w:val="18"/>
        </w:rPr>
        <w:t>Grauer, kursiver Text ist ein Beispiel. Ersetze ihn durch deine eigenen Angaben.</w:t>
      </w:r>
    </w:p>
    <w:p>
      <w:pPr>
        <w:keepNext/>
        <w:spacing w:before="280" w:after="80"/>
      </w:pPr>
      <w:r>
        <w:rPr>
          <w:b/>
          <w:i w:val="0"/>
          <w:color w:val="11695C"/>
          <w:sz w:val="22"/>
        </w:rPr>
        <w:t>KOPFBEREICH</w:t>
      </w:r>
    </w:p>
    <w:tbl>
      <w:tblPr>
        <w:tblStyle w:val="TableGrid"/>
        <w:tblW w:w="9638" w:type="dxa"/>
        <w:jc w:val="center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948"/>
        <w:gridCol w:w="6690"/>
      </w:tblGrid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Lieferanten-ID</w:t>
            </w:r>
          </w:p>
          <w:p>
            <w:r>
              <w:rPr>
                <w:b w:val="0"/>
                <w:i/>
                <w:color w:val="5B6474"/>
                <w:sz w:val="17"/>
              </w:rPr>
              <w:t>Eindeutige Zuordnung im Einkauf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LF-042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Lieferant</w:t>
            </w:r>
          </w:p>
          <w:p>
            <w:r>
              <w:rPr>
                <w:b w:val="0"/>
                <w:i/>
                <w:color w:val="5B6474"/>
                <w:sz w:val="17"/>
              </w:rPr>
              <w:t>Name des bewerteten Anbieters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Musterteile Nord GmbH (fiktiv)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Warengruppe</w:t>
            </w:r>
          </w:p>
          <w:p>
            <w:r>
              <w:rPr>
                <w:b w:val="0"/>
                <w:i/>
                <w:color w:val="5B6474"/>
                <w:sz w:val="17"/>
              </w:rPr>
              <w:t>Vergleichsgruppe definieren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Standard-Bauteile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Bewertungszeitraum</w:t>
            </w:r>
          </w:p>
          <w:p>
            <w:r>
              <w:rPr>
                <w:b w:val="0"/>
                <w:i/>
                <w:color w:val="5B6474"/>
                <w:sz w:val="17"/>
              </w:rPr>
              <w:t>Gleiche Zeitbasis für alle Vergleichslieferanten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01.07. bis 30.09.2026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Datenstand</w:t>
            </w:r>
          </w:p>
          <w:p>
            <w:r>
              <w:rPr>
                <w:b w:val="0"/>
                <w:i/>
                <w:color w:val="5B6474"/>
                <w:sz w:val="17"/>
              </w:rPr>
              <w:t>Belegbasis mit Stichtag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ERP-Auszug vom 01.11.2026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Verantwortlich</w:t>
            </w:r>
          </w:p>
          <w:p>
            <w:r>
              <w:rPr>
                <w:b w:val="0"/>
                <w:i/>
                <w:color w:val="5B6474"/>
                <w:sz w:val="17"/>
              </w:rPr>
              <w:t>Eine namentlich benannte Person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Teamleitung Einkauf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Freigabestatus</w:t>
            </w:r>
          </w:p>
          <w:p>
            <w:r>
              <w:rPr>
                <w:b w:val="0"/>
                <w:i/>
                <w:color w:val="5B6474"/>
                <w:sz w:val="17"/>
              </w:rPr>
              <w:t>Entscheidung getrennt vom Score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Prüfung offen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Muss-Kriterien</w:t>
            </w:r>
          </w:p>
          <w:p>
            <w:r>
              <w:rPr>
                <w:b w:val="0"/>
                <w:i/>
                <w:color w:val="5B6474"/>
                <w:sz w:val="17"/>
              </w:rPr>
              <w:t>Zwingende Anforderungen getrennt vom Score prüfen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Alle erfüllt, Nachweis abgelegt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Maßnahme und Frist</w:t>
            </w:r>
          </w:p>
          <w:p>
            <w:r>
              <w:rPr>
                <w:b w:val="0"/>
                <w:i/>
                <w:color w:val="5B6474"/>
                <w:sz w:val="17"/>
              </w:rPr>
              <w:t>Konkrete Folge der Bewertung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Terminplan bis 30.11.2026</w:t>
            </w:r>
          </w:p>
        </w:tc>
      </w:tr>
      <w:tr>
        <w:tc>
          <w:tcPr>
            <w:tcW w:type="dxa" w:w="2948"/>
            <w:shd w:val="clear" w:color="auto" w:fill="E4F2EE"/>
          </w:tcPr>
          <w:p>
            <w:r>
              <w:rPr>
                <w:b/>
                <w:i w:val="0"/>
                <w:sz w:val="20"/>
              </w:rPr>
              <w:t>Nächste Überprüfung</w:t>
            </w:r>
          </w:p>
          <w:p>
            <w:r>
              <w:rPr>
                <w:b w:val="0"/>
                <w:i/>
                <w:color w:val="5B6474"/>
                <w:sz w:val="17"/>
              </w:rPr>
              <w:t>Individuell festgelegter Folgetermin</w:t>
            </w:r>
          </w:p>
        </w:tc>
        <w:tc>
          <w:tcPr>
            <w:tcW w:type="dxa" w:w="6690"/>
          </w:tcPr>
          <w:p>
            <w:r>
              <w:rPr>
                <w:b w:val="0"/>
                <w:i/>
                <w:color w:val="8A94A6"/>
                <w:sz w:val="20"/>
              </w:rPr>
              <w:t>31.01.2027</w:t>
            </w:r>
          </w:p>
        </w:tc>
      </w:tr>
    </w:tbl>
    <w:p>
      <w:pPr>
        <w:keepNext/>
        <w:spacing w:before="280" w:after="80"/>
      </w:pPr>
      <w:r>
        <w:rPr>
          <w:b/>
          <w:i w:val="0"/>
          <w:color w:val="11695C"/>
          <w:sz w:val="22"/>
        </w:rPr>
        <w:t>BEWERTUNGSMATRIX</w:t>
      </w:r>
    </w:p>
    <w:tbl>
      <w:tblPr>
        <w:tblStyle w:val="TableGrid"/>
        <w:tblW w:w="9640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E4F2EE"/>
          </w:tcPr>
          <w:p>
            <w:r>
              <w:rPr>
                <w:b/>
                <w:i w:val="0"/>
                <w:sz w:val="19"/>
              </w:rPr>
              <w:t>Bewertungskriterium</w:t>
            </w:r>
          </w:p>
        </w:tc>
        <w:tc>
          <w:tcPr>
            <w:tcW w:type="dxa" w:w="1928"/>
            <w:shd w:val="clear" w:color="auto" w:fill="E4F2EE"/>
          </w:tcPr>
          <w:p>
            <w:r>
              <w:rPr>
                <w:b/>
                <w:i w:val="0"/>
                <w:sz w:val="19"/>
              </w:rPr>
              <w:t>Gewichtung (%)</w:t>
            </w:r>
          </w:p>
        </w:tc>
        <w:tc>
          <w:tcPr>
            <w:tcW w:type="dxa" w:w="1928"/>
            <w:shd w:val="clear" w:color="auto" w:fill="E4F2EE"/>
          </w:tcPr>
          <w:p>
            <w:r>
              <w:rPr>
                <w:b/>
                <w:i w:val="0"/>
                <w:sz w:val="19"/>
              </w:rPr>
              <w:t>Punkte 1 bis 5</w:t>
            </w:r>
          </w:p>
        </w:tc>
        <w:tc>
          <w:tcPr>
            <w:tcW w:type="dxa" w:w="1928"/>
            <w:shd w:val="clear" w:color="auto" w:fill="E4F2EE"/>
          </w:tcPr>
          <w:p>
            <w:r>
              <w:rPr>
                <w:b/>
                <w:i w:val="0"/>
                <w:sz w:val="19"/>
              </w:rPr>
              <w:t>Gewichtete Punkte</w:t>
            </w:r>
          </w:p>
        </w:tc>
        <w:tc>
          <w:tcPr>
            <w:tcW w:type="dxa" w:w="1928"/>
            <w:shd w:val="clear" w:color="auto" w:fill="E4F2EE"/>
          </w:tcPr>
          <w:p>
            <w:r>
              <w:rPr>
                <w:b/>
                <w:i w:val="0"/>
                <w:sz w:val="19"/>
              </w:rPr>
              <w:t>Nachweis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Qualität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30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4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1,20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Prüfprotokoll, Reklamationen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Liefertreue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25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3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0,75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Bestell- und Wareneingangsdaten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Gesamtkosten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20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5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1,00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Angebots- und Kostenvergleich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Service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10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4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0,40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Reaktions- und Lösungszeiten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Versorgungsrisiko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10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3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0,30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Kapazitäts- und Risikoauskunft</w:t>
            </w:r>
          </w:p>
        </w:tc>
      </w:tr>
      <w:tr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Nachhaltigkeitsnachweise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5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4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0,20</w:t>
            </w:r>
          </w:p>
        </w:tc>
        <w:tc>
          <w:tcPr>
            <w:tcW w:type="dxa" w:w="1928"/>
          </w:tcPr>
          <w:p>
            <w:r>
              <w:rPr>
                <w:b w:val="0"/>
                <w:i/>
                <w:color w:val="8A94A6"/>
                <w:sz w:val="19"/>
              </w:rPr>
              <w:t>Prüfbare, relevante Dokumente</w:t>
            </w:r>
          </w:p>
        </w:tc>
      </w:tr>
      <w:t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  <w:tr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  <w:tc>
          <w:tcPr>
            <w:tcW w:type="dxa" w:w="1928"/>
          </w:tcPr>
          <w:p/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B6474"/>
        <w:sz w:val="16"/>
      </w:rPr>
      <w:t>The Procurement Manager  |  theprocurementmanager.com/de/blog/lieferantenbewertung-vorlage  |  Kostenlose Vorlage,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Lieferantenbewertung Vorlage</dc:title>
  <dc:subject/>
  <dc:creator>The Procurement Manager</dc:creator>
  <cp:keywords/>
  <dc:description>theprocurementmanager.com/de/blog/lieferantenbewertung-vorlage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